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left"/>
        <w:rPr>
          <w:rFonts w:ascii="Calibri" w:hAnsi="Calibri" w:cs="Calibri" w:eastAsia="Calibri"/>
          <w:b/>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Title: Forecasting National Non-Communicable Disease Mortality Using Machine Learning: An Ecological Study of Predictive Factors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Authors</w:t>
      </w:r>
      <w:r>
        <w:rPr>
          <w:rFonts w:ascii="Calibri" w:hAnsi="Calibri" w:cs="Calibri" w:eastAsia="Calibri"/>
          <w:color w:val="auto"/>
          <w:spacing w:val="0"/>
          <w:position w:val="0"/>
          <w:sz w:val="22"/>
          <w:u w:val="single"/>
          <w:shd w:fill="auto" w:val="clear"/>
        </w:rPr>
        <w:t xml:space="preserve">: Laiba khan, Maham Khan, Mahmood Ahmad, Muhammad Hamza Khan</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Affiliation: </w:t>
      </w:r>
      <w:r>
        <w:rPr>
          <w:rFonts w:ascii="Calibri" w:hAnsi="Calibri" w:cs="Calibri" w:eastAsia="Calibri"/>
          <w:color w:val="auto"/>
          <w:spacing w:val="0"/>
          <w:position w:val="0"/>
          <w:sz w:val="22"/>
          <w:u w:val="single"/>
          <w:shd w:fill="auto" w:val="clear"/>
        </w:rPr>
        <w:t xml:space="preserve">Royal Free Hospital, London, Heuser college</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b/>
          <w:color w:val="auto"/>
          <w:spacing w:val="0"/>
          <w:position w:val="0"/>
          <w:sz w:val="22"/>
          <w:u w:val="single"/>
          <w:shd w:fill="auto" w:val="clear"/>
        </w:rPr>
        <w:t xml:space="preserve">CORESPONDING AUTHOR</w:t>
      </w:r>
    </w:p>
    <w:p>
      <w:pPr>
        <w:suppressAutoHyphens w:val="true"/>
        <w:spacing w:before="0" w:after="200" w:line="276"/>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Joanne Lac: Correspondence</w:t>
      </w:r>
    </w:p>
    <w:p>
      <w:pPr>
        <w:suppressAutoHyphens w:val="true"/>
        <w:spacing w:before="0" w:after="200" w:line="276"/>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Affiliation: University College London, UCL</w:t>
      </w:r>
    </w:p>
    <w:p>
      <w:pPr>
        <w:suppressAutoHyphens w:val="true"/>
        <w:spacing w:before="0" w:after="200" w:line="276"/>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Email: joanne.lac.20@ucl.ac.uk</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Introduction</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Non-communicable diseases (NCDs) remain the leading cause of death worldwide, imposing a significant burden on public health systems. Although numerous epidemiological studies have highlighted major risk factors, there is an increasing demand for reliable, data-driven tools to help policymakers project future mortality trends. Anticipating countries on high-risk paths could allow for more precise and impactful public health responses.</w:t>
      </w:r>
    </w:p>
    <w:p>
      <w:pPr>
        <w:suppressAutoHyphens w:val="true"/>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This research aimed to build and thoroughly validate a machine learning model capable of predicting national NCD mortality rates three years ahead. A secondary goal was to determine the most influential predictors, shedding light on which indicators hold the greatest value for forecasting in public health monitoring.</w:t>
      </w:r>
    </w:p>
    <w:p>
      <w:pPr>
        <w:suppressAutoHyphens w:val="true"/>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Methods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We performed a longitudinal analysis using a panel dataset compiled from publicly accessible sources. Country-level indicators from 2000 to 2018 were obtained from the WHO Global Health Observatory and the World Bank. The final dataset comprised 179 countries.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The target variable for our model was defined as each country’s NCD mortality rate projected three years into the future. To avoid data leakage, all predictive features were engineered solely from historical values. For each main predictor (obesity prevalence, alcohol intake, smoking rates, GDP per capita, and health spending per capita), we generated two types of features: a 1-year lag reflecting recent levels, and a 3-year trend (absolute change over the prior three years) to capture directional momentum. These windows aimed to balance short-term signals with medium-term trends.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We split the dataset chronologically: training data included observations up to 2014, while the test data consisted of values from 2015 onward. We built a LightGBM model, a powerful gradient boosting algorithm. To ensure optimal performance and robustness, we used 3-fold cross-validation on the training set via GridSearchCV, tuning n_estimators, learning_rate, and num_leaves. A basic Linear Regression model was also trained as a comparative baseline. We evaluated model performance on the test set using Mean Absolute Error (MAE) and R-squared (R²).</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Results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The optimized LightGBM model exhibited notably higher predictive performance. In contrast to the baseline Linear Regression model (MAE: 3.331, R2: 0.645), the tuned LightGBM achieved a much lower Mean Absolute Error of 1.591 and a significantly improved R-squared of 0.884 on the test dataset. This suggests that the model accounts for roughly 88% of the variability in future NCD mortality, with an average prediction error of only ~1.6 percentage points.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An examination of feature importance highlighted the primary factors influencing model outputs (Figure 1). The two most impactful predictors were the 1-year lags of alcohol use and smoking prevalence. The 3-year trend in obesity ranked third, contributing more predictive power than the 1-year lag of obesity prevalence alone. Economic and healthcare spending lags also played a role in predictions, though they were less influential than core behavioural and obesity-related indicators.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(Figure 1: The "Feature Importance for Predicting NCD Mortality" plot would be inserted here.)</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Discussion</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In this study, we built and validated a machine learning model capable of predicting national NCD mortality rates three years ahead with strong accuracy. The findings offer two major insights. First, the most predictive factors are recent, measurable health behaviours</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2"/>
          <w:u w:val="single"/>
          <w:shd w:fill="auto" w:val="clear"/>
        </w:rPr>
        <w:t xml:space="preserve">specifically alcohol consumption and smoking prevalence. Second, a condition</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2"/>
          <w:u w:val="single"/>
          <w:shd w:fill="auto" w:val="clear"/>
        </w:rPr>
        <w:t xml:space="preserve">s direction of change can be more revealing than its static value; the fact that the 3-year obesity trend outperformed the 1-year lag implies that the pace of the obesity crisis is a key early warning indicator.</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Our findings highlight the value of machine learning as a practical tool for global health forecasting. However, the study has limitations. Chief among them is its ecological design</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2"/>
          <w:u w:val="single"/>
          <w:shd w:fill="auto" w:val="clear"/>
        </w:rPr>
        <w:t xml:space="preserve">results reflect population-level trends and cannot be applied to individuals. In addition, although our feature engineering strategy was well grounded, it represents just one of many potential methods.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In summary, we show that with sufficient historical data on major risk factors, robust models can be developed to anticipate future public health outcomes. These predictive tools may allow health agencies and governments to detect high-risk countries sooner and deploy preventive strategies more efficiently.</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References</w:t>
      </w: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1)World Health Organization. Global Health Observatory (GHO) data.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https://www.who.int/data/gho</w:t>
        </w:r>
      </w:hyperlink>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2)The World Bank. World Bank Open Data.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https://data.worldbank.org/</w:t>
        </w:r>
      </w:hyperlink>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data/gho" Id="docRId0" Type="http://schemas.openxmlformats.org/officeDocument/2006/relationships/hyperlink" /><Relationship TargetMode="External" Target="https://data.worldbank.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