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95B1E" w14:textId="77777777" w:rsidR="00D83CF4" w:rsidRPr="00D83CF4" w:rsidRDefault="00D83CF4" w:rsidP="005F0901">
      <w:pPr>
        <w:spacing w:line="240" w:lineRule="auto"/>
        <w:rPr>
          <w:rFonts w:ascii="Times New Roman" w:hAnsi="Times New Roman" w:cs="Times New Roman"/>
        </w:rPr>
      </w:pPr>
      <w:r w:rsidRPr="00D83CF4">
        <w:rPr>
          <w:rFonts w:ascii="Times New Roman" w:hAnsi="Times New Roman" w:cs="Times New Roman"/>
          <w:b/>
          <w:bCs/>
        </w:rPr>
        <w:t>Title</w:t>
      </w:r>
      <w:r w:rsidRPr="00D83CF4">
        <w:rPr>
          <w:rFonts w:ascii="Times New Roman" w:hAnsi="Times New Roman" w:cs="Times New Roman"/>
        </w:rPr>
        <w:br/>
      </w:r>
      <w:proofErr w:type="spellStart"/>
      <w:r w:rsidRPr="00D83CF4">
        <w:rPr>
          <w:rFonts w:ascii="Times New Roman" w:hAnsi="Times New Roman" w:cs="Times New Roman"/>
        </w:rPr>
        <w:t>FragilitySynth</w:t>
      </w:r>
      <w:proofErr w:type="spellEnd"/>
      <w:r w:rsidRPr="00D83CF4">
        <w:rPr>
          <w:rFonts w:ascii="Times New Roman" w:hAnsi="Times New Roman" w:cs="Times New Roman"/>
        </w:rPr>
        <w:t>: Deconstructing the Coronary Sinus Reducer Controversy via Systems Engineering and Bayesian Decision Theory</w:t>
      </w:r>
    </w:p>
    <w:p w14:paraId="70E569ED" w14:textId="08FAA48E" w:rsidR="00D83CF4" w:rsidRPr="00D83CF4" w:rsidRDefault="00D83CF4" w:rsidP="005F0901">
      <w:pPr>
        <w:spacing w:line="240" w:lineRule="auto"/>
        <w:rPr>
          <w:rFonts w:ascii="Times New Roman" w:hAnsi="Times New Roman" w:cs="Times New Roman"/>
        </w:rPr>
      </w:pPr>
      <w:r w:rsidRPr="00D83CF4">
        <w:rPr>
          <w:rFonts w:ascii="Times New Roman" w:hAnsi="Times New Roman" w:cs="Times New Roman"/>
        </w:rPr>
        <w:t xml:space="preserve">Authors: </w:t>
      </w:r>
    </w:p>
    <w:p w14:paraId="74577831" w14:textId="413E16EC" w:rsidR="00D83CF4" w:rsidRPr="00D83CF4" w:rsidRDefault="00D83CF4" w:rsidP="005F0901">
      <w:pPr>
        <w:spacing w:line="240" w:lineRule="auto"/>
        <w:rPr>
          <w:rFonts w:ascii="Times New Roman" w:hAnsi="Times New Roman" w:cs="Times New Roman"/>
        </w:rPr>
      </w:pPr>
      <w:r w:rsidRPr="00D83CF4">
        <w:rPr>
          <w:rFonts w:ascii="Times New Roman" w:hAnsi="Times New Roman" w:cs="Times New Roman"/>
        </w:rPr>
        <w:t>Niraj S Kumar</w:t>
      </w:r>
      <w:r w:rsidRPr="00D83CF4">
        <w:rPr>
          <w:rFonts w:ascii="Times New Roman" w:hAnsi="Times New Roman" w:cs="Times New Roman"/>
          <w:vertAlign w:val="superscript"/>
        </w:rPr>
        <w:t xml:space="preserve"> 1,2</w:t>
      </w:r>
      <w:r w:rsidRPr="00D83CF4">
        <w:rPr>
          <w:rFonts w:ascii="Times New Roman" w:hAnsi="Times New Roman" w:cs="Times New Roman"/>
        </w:rPr>
        <w:t>, Ruhani Singh</w:t>
      </w:r>
      <w:r w:rsidRPr="00D83CF4">
        <w:rPr>
          <w:rFonts w:ascii="Times New Roman" w:hAnsi="Times New Roman" w:cs="Times New Roman"/>
          <w:vertAlign w:val="superscript"/>
        </w:rPr>
        <w:t>2</w:t>
      </w:r>
      <w:r w:rsidRPr="00D83CF4">
        <w:rPr>
          <w:rFonts w:ascii="Times New Roman" w:hAnsi="Times New Roman" w:cs="Times New Roman"/>
        </w:rPr>
        <w:t>, Mahmood Ahmad</w:t>
      </w:r>
      <w:r w:rsidRPr="00D83CF4">
        <w:rPr>
          <w:rFonts w:ascii="Times New Roman" w:hAnsi="Times New Roman" w:cs="Times New Roman"/>
          <w:vertAlign w:val="superscript"/>
        </w:rPr>
        <w:t>3</w:t>
      </w:r>
    </w:p>
    <w:p w14:paraId="471354E8" w14:textId="4BAD209F" w:rsidR="00D83CF4" w:rsidRPr="00D83CF4" w:rsidRDefault="00D83CF4" w:rsidP="005F0901">
      <w:pPr>
        <w:spacing w:line="240" w:lineRule="auto"/>
        <w:rPr>
          <w:rFonts w:ascii="Times New Roman" w:hAnsi="Times New Roman" w:cs="Times New Roman"/>
        </w:rPr>
      </w:pPr>
      <w:r w:rsidRPr="00D83CF4">
        <w:rPr>
          <w:rFonts w:ascii="Times New Roman" w:hAnsi="Times New Roman" w:cs="Times New Roman"/>
        </w:rPr>
        <w:t xml:space="preserve">Affiliations: </w:t>
      </w:r>
    </w:p>
    <w:p w14:paraId="4A94E849" w14:textId="445FF1AF" w:rsidR="00D83CF4" w:rsidRPr="00D83CF4" w:rsidRDefault="00D83CF4" w:rsidP="005F090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D83CF4">
        <w:rPr>
          <w:rFonts w:ascii="Times New Roman" w:hAnsi="Times New Roman" w:cs="Times New Roman"/>
        </w:rPr>
        <w:t>Academic Rheumatology, City Hospital Nottingham, University of Nottingham, Nottingham, UK</w:t>
      </w:r>
      <w:r w:rsidRPr="00D83CF4">
        <w:rPr>
          <w:rFonts w:ascii="Times New Roman" w:hAnsi="Times New Roman" w:cs="Times New Roman"/>
        </w:rPr>
        <w:t xml:space="preserve"> </w:t>
      </w:r>
    </w:p>
    <w:p w14:paraId="6976114B" w14:textId="639696D5" w:rsidR="00D83CF4" w:rsidRPr="00D83CF4" w:rsidRDefault="00D83CF4" w:rsidP="005F090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D83CF4">
        <w:rPr>
          <w:rFonts w:ascii="Times New Roman" w:hAnsi="Times New Roman" w:cs="Times New Roman"/>
        </w:rPr>
        <w:t>National Medical Research Association, Leicester, UK</w:t>
      </w:r>
    </w:p>
    <w:p w14:paraId="113AC19B" w14:textId="48756688" w:rsidR="00D83CF4" w:rsidRPr="00D83CF4" w:rsidRDefault="00D83CF4" w:rsidP="005F090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D83CF4">
        <w:rPr>
          <w:rFonts w:ascii="Times New Roman" w:hAnsi="Times New Roman" w:cs="Times New Roman"/>
        </w:rPr>
        <w:t>Royal Free Hospital, London, UK</w:t>
      </w:r>
    </w:p>
    <w:p w14:paraId="161B1033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FD21A88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321A66D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B02448A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195C0E3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2B0CB18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AF7D2A0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1C9E427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36A4276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9A8ED2F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F426C37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9C9B77E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EE2098A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DBDD69D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64EE478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0156AFD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C4030B4" w14:textId="77777777" w:rsidR="005F0901" w:rsidRDefault="005F0901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9665EB1" w14:textId="77777777" w:rsidR="005F0901" w:rsidRDefault="005F0901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C28A237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BC9A215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D001343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B5A928A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7452423" w14:textId="77777777" w:rsidR="00D83CF4" w:rsidRDefault="00D83CF4" w:rsidP="005F090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569990C" w14:textId="0F5382E5" w:rsidR="00D83CF4" w:rsidRPr="00D83CF4" w:rsidRDefault="00D83CF4" w:rsidP="005F0901">
      <w:pPr>
        <w:spacing w:line="240" w:lineRule="auto"/>
        <w:rPr>
          <w:rFonts w:ascii="Times New Roman" w:hAnsi="Times New Roman" w:cs="Times New Roman"/>
        </w:rPr>
      </w:pPr>
      <w:r w:rsidRPr="00D83CF4">
        <w:rPr>
          <w:rFonts w:ascii="Times New Roman" w:hAnsi="Times New Roman" w:cs="Times New Roman"/>
          <w:b/>
          <w:bCs/>
        </w:rPr>
        <w:lastRenderedPageBreak/>
        <w:t>Abstract</w:t>
      </w:r>
      <w:r w:rsidRPr="00D83CF4">
        <w:rPr>
          <w:rFonts w:ascii="Times New Roman" w:hAnsi="Times New Roman" w:cs="Times New Roman"/>
        </w:rPr>
        <w:br/>
        <w:t xml:space="preserve">The Coronary Sinus Reducer (CSR) is an implantable device for refractory angina. Sham-controlled randomized clinical trials (RCTs) show modest improvements, whereas open-label registries report dramatic symptomatic benefit, raising concerns that much of the apparent effect reflects contextual and placebo responses rather than the device itself. Traditional meta-analysis, which treats studies as static and independent, provides limited insight into this “certainty gap”. </w:t>
      </w:r>
      <w:r w:rsidR="005F0901" w:rsidRPr="005F0901">
        <w:rPr>
          <w:rFonts w:ascii="Times New Roman" w:hAnsi="Times New Roman" w:cs="Times New Roman"/>
        </w:rPr>
        <w:t xml:space="preserve">We developed </w:t>
      </w:r>
      <w:proofErr w:type="spellStart"/>
      <w:r w:rsidR="005F0901" w:rsidRPr="005F0901">
        <w:rPr>
          <w:rFonts w:ascii="Times New Roman" w:hAnsi="Times New Roman" w:cs="Times New Roman"/>
        </w:rPr>
        <w:t>FragilitySynth</w:t>
      </w:r>
      <w:proofErr w:type="spellEnd"/>
      <w:r w:rsidR="005F0901" w:rsidRPr="005F0901">
        <w:rPr>
          <w:rFonts w:ascii="Times New Roman" w:hAnsi="Times New Roman" w:cs="Times New Roman"/>
        </w:rPr>
        <w:t xml:space="preserve"> vInf², a simple browser-based tool that treats the CSR evidence base as a dynamic system. The framework combines: (1) random-matrix–inspired measures of how many truly independent studies exist and how concentrated authorship is; (2) Kalman filtering to track how the estimated effect changes as trials accumulate; and (3) Bayesian decision theory to compute an Adaptive Minimum Risk estimate under asymmetric penalties for recommending an ineffective invasive device. Applied to 17 CSR datasets, </w:t>
      </w:r>
      <w:proofErr w:type="spellStart"/>
      <w:r w:rsidR="005F0901" w:rsidRPr="005F0901">
        <w:rPr>
          <w:rFonts w:ascii="Times New Roman" w:hAnsi="Times New Roman" w:cs="Times New Roman"/>
        </w:rPr>
        <w:t>FragilitySynth</w:t>
      </w:r>
      <w:proofErr w:type="spellEnd"/>
      <w:r w:rsidR="005F0901" w:rsidRPr="005F0901">
        <w:rPr>
          <w:rFonts w:ascii="Times New Roman" w:hAnsi="Times New Roman" w:cs="Times New Roman"/>
        </w:rPr>
        <w:t xml:space="preserve"> finds several independent information streams, a stable effect above a minimally clinically important difference, and a decision-optimal effect size well above this threshold even when over-treatment is heavily </w:t>
      </w:r>
      <w:r w:rsidR="005F0901" w:rsidRPr="005F0901">
        <w:rPr>
          <w:rFonts w:ascii="Times New Roman" w:hAnsi="Times New Roman" w:cs="Times New Roman"/>
        </w:rPr>
        <w:t>penalised.</w:t>
      </w:r>
    </w:p>
    <w:p w14:paraId="3BC67DE0" w14:textId="77777777" w:rsidR="005F0901" w:rsidRPr="005F0901" w:rsidRDefault="005F0901" w:rsidP="005F0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Background</w:t>
      </w:r>
    </w:p>
    <w:p w14:paraId="48D7DEB4" w14:textId="77777777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Coronary Sinus Reducer (CSR) provides a device option for patients with refractory angina who are unsuitable for revascularisation [1]. The sham-controlled COSIRA trial showed symptomatic benefit but could not rule out a substantial placebo contribution [1]. Subsequent registries and meta-analyses reported marked improvement in angina class [2], fuelling disagreement over whether CSR should be routinely recommended or restricted. Standard meta-analysis ignores dependence between studies, author clustering and temporal evolution, and does not connect uncertainty to concrete policy choices [3].</w:t>
      </w:r>
    </w:p>
    <w:p w14:paraId="1C87818D" w14:textId="77777777" w:rsidR="005F0901" w:rsidRPr="005F0901" w:rsidRDefault="005F0901" w:rsidP="005F0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Methods</w:t>
      </w:r>
    </w:p>
    <w:p w14:paraId="1581AFC1" w14:textId="77777777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encoded 17 CSR trials and registries with effect size, standard error, year, and overlapping authorship.</w:t>
      </w:r>
    </w:p>
    <w:p w14:paraId="2B403510" w14:textId="77777777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 assess structure, we used a simplified Random Matrix Theory approach assuming a common pairwise correlation. Closed-form eigenvalues of the implied correlation matrix yield an effective number of studies (Neff) and spectral gap (consensus strength). Author centrality summarises concentration of publications in a few groups.</w:t>
      </w:r>
    </w:p>
    <w:p w14:paraId="59407842" w14:textId="77777777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dynamics, we treated the true effect as a slowly changing latent state and updated it sequentially with a Kalman filter, producing a smoothed efficacy trajectory and a Dynamic Instability Index (DSI).</w:t>
      </w:r>
    </w:p>
    <w:p w14:paraId="195266D4" w14:textId="77777777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decision-making, a random-effects Bayesian model provided the posterior for the true effect. We then searched for the Adaptive Minimum Risk estimate (</w:t>
      </w: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μ_AMR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that minimises an asymmetric quadratic loss, heavily penalising recommendation of an ineffective invasive device [4].</w:t>
      </w:r>
    </w:p>
    <w:p w14:paraId="093F873F" w14:textId="27EDCB77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computations are implemented in a single-page HTML/JavaScript dashboard (“</w:t>
      </w: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FragilitySynth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vInf²”), allowing users to toggle studies, switch between “all studies” and “RCTs only”, and adjust the catastrophic cost slider, with all plots updating instantly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(Supplement A)</w:t>
      </w: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5342026" w14:textId="77777777" w:rsidR="005F0901" w:rsidRPr="005F0901" w:rsidRDefault="005F0901" w:rsidP="005F0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Results and functionality</w:t>
      </w:r>
    </w:p>
    <w:p w14:paraId="1BC24EB6" w14:textId="1579F17E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FragilitySynth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estimated Neff ≈ 5, indicating several genuinely independent information streams despite redundancy. A large spectral gap and low author centrality suggested a strong, broadly shared signal of benefit rather than dominance by one group. The Kalman-smoothed trajectory remained above a minimally clinically important difference (MCID = 0.5) with low DSI, indicating stable efficacy over time. Under a high penalty for over-treatment, </w:t>
      </w: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μ_AMR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was ≈ 1.33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more than twice the MCID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 a risk-averse decision-maker still minimises expected loss by acting as if CSR has a clearly meaningful effect.</w:t>
      </w:r>
    </w:p>
    <w:p w14:paraId="08526E18" w14:textId="77777777" w:rsidR="005F0901" w:rsidRPr="005F0901" w:rsidRDefault="005F0901" w:rsidP="005F0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Conclusions</w:t>
      </w:r>
    </w:p>
    <w:p w14:paraId="4F929CB8" w14:textId="4C44578E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FragilitySynth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shows that, once structural dependence, time trends and asymmetric harms are made explicit, the CSR literature behaves like several independent, concordant studies with a stable, clinically important effect. Within this framework, CSR aligns with a restricted, Class </w:t>
      </w: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IIa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-style (“should be considered”) recommendation rather than a conclusion of no benefit. The open HTML implementation provides a transparent template for interrogating other controversial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meta-analysis results</w:t>
      </w: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6930C18" w14:textId="777EAB44" w:rsidR="005F0901" w:rsidRPr="005F0901" w:rsidRDefault="005F0901" w:rsidP="005F0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References</w:t>
      </w:r>
    </w:p>
    <w:p w14:paraId="1243D8FA" w14:textId="517D51DB" w:rsidR="005F0901" w:rsidRPr="005F0901" w:rsidRDefault="005F0901" w:rsidP="005F0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Verheye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S, Jolicoeur EM, Behan MW, et al. Efficacy of a device to narrow the coronary sinus in refractory angina (COSIRA): a multicentre, randomised, double-blind, sham-controlled trial. N Engl J Med. 2015;372(6):519-27. PMID: 25651246. </w:t>
      </w:r>
    </w:p>
    <w:p w14:paraId="4FE7A3A5" w14:textId="4FBA1134" w:rsidR="005F0901" w:rsidRPr="005F0901" w:rsidRDefault="005F0901" w:rsidP="005F0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Theofilis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P, </w:t>
      </w: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Sagris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M, Oikonomou E, et al. The efficacy of coronary sinus reducer in patients with refractory angina: a systematic review and meta-analysis. Rev Cardiovasc Med. 2024;25(2):47. PMID: 39076961. </w:t>
      </w:r>
    </w:p>
    <w:p w14:paraId="047DCCF5" w14:textId="3032DF25" w:rsidR="005F0901" w:rsidRPr="005F0901" w:rsidRDefault="005F0901" w:rsidP="005F0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Walsh M, Srinathan SK, McAuley DF, et al. The statistical significance of randomized controlled trial results is frequently fragile: a case for a fragility index. J Clin </w:t>
      </w:r>
      <w:proofErr w:type="spellStart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Epidemiol</w:t>
      </w:r>
      <w:proofErr w:type="spellEnd"/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2014;67(6):622-8. PMID: 24508144. </w:t>
      </w:r>
    </w:p>
    <w:p w14:paraId="692C8893" w14:textId="77777777" w:rsidR="005F0901" w:rsidRPr="005F0901" w:rsidRDefault="005F0901" w:rsidP="005F09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F090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Berger JO. Statistical Decision Theory and Bayesian Analysis. 2nd ed. New York: Springer-Verlag; 1985.</w:t>
      </w:r>
    </w:p>
    <w:p w14:paraId="7EC50669" w14:textId="77777777" w:rsidR="008708ED" w:rsidRPr="00D83CF4" w:rsidRDefault="008708ED" w:rsidP="005F0901">
      <w:pPr>
        <w:spacing w:line="240" w:lineRule="auto"/>
        <w:rPr>
          <w:rFonts w:ascii="Times New Roman" w:hAnsi="Times New Roman" w:cs="Times New Roman"/>
        </w:rPr>
      </w:pPr>
    </w:p>
    <w:sectPr w:rsidR="008708ED" w:rsidRPr="00D83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7043"/>
    <w:multiLevelType w:val="multilevel"/>
    <w:tmpl w:val="1762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0C63AC"/>
    <w:multiLevelType w:val="hybridMultilevel"/>
    <w:tmpl w:val="519072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74566"/>
    <w:multiLevelType w:val="multilevel"/>
    <w:tmpl w:val="34421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FB734F"/>
    <w:multiLevelType w:val="hybridMultilevel"/>
    <w:tmpl w:val="E38E5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617172">
    <w:abstractNumId w:val="2"/>
  </w:num>
  <w:num w:numId="2" w16cid:durableId="952176895">
    <w:abstractNumId w:val="1"/>
  </w:num>
  <w:num w:numId="3" w16cid:durableId="609972834">
    <w:abstractNumId w:val="3"/>
  </w:num>
  <w:num w:numId="4" w16cid:durableId="105593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F4"/>
    <w:rsid w:val="00096DE0"/>
    <w:rsid w:val="001B1CDD"/>
    <w:rsid w:val="004C2DFF"/>
    <w:rsid w:val="005F0901"/>
    <w:rsid w:val="008708ED"/>
    <w:rsid w:val="00D8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5D4B1"/>
  <w15:chartTrackingRefBased/>
  <w15:docId w15:val="{D6827099-E17B-45CD-A83B-2CE36F29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C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C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C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C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C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C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C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C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C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C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C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3C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Niraj Kumar (staff)</dc:creator>
  <cp:keywords/>
  <dc:description/>
  <cp:lastModifiedBy>Niraj Kumar (staff)</cp:lastModifiedBy>
  <cp:revision>1</cp:revision>
  <dcterms:created xsi:type="dcterms:W3CDTF">2025-12-02T13:34:00Z</dcterms:created>
  <dcterms:modified xsi:type="dcterms:W3CDTF">2025-12-02T13:49:00Z</dcterms:modified>
</cp:coreProperties>
</file>