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066D9" w14:textId="77777777" w:rsidR="00611DF3" w:rsidRDefault="00611DF3" w:rsidP="00611DF3">
      <w:pPr>
        <w:spacing w:line="360" w:lineRule="auto"/>
        <w:rPr>
          <w:rFonts w:ascii="Calibri" w:hAnsi="Calibri" w:cs="Calibri"/>
          <w:b/>
          <w:bCs/>
          <w:sz w:val="22"/>
          <w:szCs w:val="22"/>
        </w:rPr>
      </w:pPr>
    </w:p>
    <w:p w14:paraId="20308F15" w14:textId="176BCE92" w:rsidR="00611DF3" w:rsidRPr="00611DF3" w:rsidRDefault="00611DF3" w:rsidP="00611DF3">
      <w:pPr>
        <w:spacing w:line="360" w:lineRule="auto"/>
        <w:rPr>
          <w:rFonts w:ascii="Calibri" w:hAnsi="Calibri" w:cs="Calibri"/>
          <w:b/>
          <w:bCs/>
          <w:sz w:val="22"/>
          <w:szCs w:val="22"/>
        </w:rPr>
      </w:pPr>
      <w:r w:rsidRPr="00611DF3">
        <w:rPr>
          <w:rFonts w:ascii="Calibri" w:hAnsi="Calibri" w:cs="Calibri"/>
          <w:b/>
          <w:bCs/>
          <w:sz w:val="22"/>
          <w:szCs w:val="22"/>
        </w:rPr>
        <w:t>Abstract</w:t>
      </w:r>
    </w:p>
    <w:p w14:paraId="01EDED14" w14:textId="77777777"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The recent JACC network meta-analysis by Reddy et al. concluded that complete revascularisation following MI reduced all-cause mortality by 15% when compared to culprit-only PCI. This finding contradicts the major CULPRIT-SHOCK trial. We propose that this discrepancy reflects important unaddressed heterogeneity: (1) inclusion of NSTEMI populations (FIRE trial) and (2) exclusion of cardiogenic shock. Using a forensic simulation engine (</w:t>
      </w:r>
      <w:proofErr w:type="spellStart"/>
      <w:r w:rsidRPr="00611DF3">
        <w:rPr>
          <w:rFonts w:ascii="Calibri" w:hAnsi="Calibri" w:cs="Calibri"/>
          <w:i/>
          <w:iCs/>
          <w:sz w:val="22"/>
          <w:szCs w:val="22"/>
        </w:rPr>
        <w:t>RevascLogic</w:t>
      </w:r>
      <w:proofErr w:type="spellEnd"/>
      <w:r w:rsidRPr="00611DF3">
        <w:rPr>
          <w:rFonts w:ascii="Calibri" w:hAnsi="Calibri" w:cs="Calibri"/>
          <w:sz w:val="22"/>
          <w:szCs w:val="22"/>
        </w:rPr>
        <w:t>), we show that when heterogeneity is corrected for using Hartung-Knapp-</w:t>
      </w:r>
      <w:proofErr w:type="spellStart"/>
      <w:r w:rsidRPr="00611DF3">
        <w:rPr>
          <w:rFonts w:ascii="Calibri" w:hAnsi="Calibri" w:cs="Calibri"/>
          <w:sz w:val="22"/>
          <w:szCs w:val="22"/>
        </w:rPr>
        <w:t>Sidik</w:t>
      </w:r>
      <w:proofErr w:type="spellEnd"/>
      <w:r w:rsidRPr="00611DF3">
        <w:rPr>
          <w:rFonts w:ascii="Calibri" w:hAnsi="Calibri" w:cs="Calibri"/>
          <w:sz w:val="22"/>
          <w:szCs w:val="22"/>
        </w:rPr>
        <w:t>-</w:t>
      </w:r>
      <w:proofErr w:type="spellStart"/>
      <w:r w:rsidRPr="00611DF3">
        <w:rPr>
          <w:rFonts w:ascii="Calibri" w:hAnsi="Calibri" w:cs="Calibri"/>
          <w:sz w:val="22"/>
          <w:szCs w:val="22"/>
        </w:rPr>
        <w:t>Jonkman</w:t>
      </w:r>
      <w:proofErr w:type="spellEnd"/>
      <w:r w:rsidRPr="00611DF3">
        <w:rPr>
          <w:rFonts w:ascii="Calibri" w:hAnsi="Calibri" w:cs="Calibri"/>
          <w:sz w:val="22"/>
          <w:szCs w:val="22"/>
        </w:rPr>
        <w:t xml:space="preserve"> (HKSJ) variance estimation and competing-risk modelling, the apparent mortality benefit vanishes, indicating a balance between reduced recurrent ischaemia and increased procedural risk. </w:t>
      </w:r>
    </w:p>
    <w:p w14:paraId="1FACC094" w14:textId="77777777" w:rsidR="00611DF3" w:rsidRPr="00611DF3" w:rsidRDefault="00611DF3" w:rsidP="00611DF3">
      <w:pPr>
        <w:spacing w:line="360" w:lineRule="auto"/>
        <w:rPr>
          <w:rFonts w:ascii="Calibri" w:hAnsi="Calibri" w:cs="Calibri"/>
          <w:sz w:val="22"/>
          <w:szCs w:val="22"/>
        </w:rPr>
      </w:pPr>
    </w:p>
    <w:p w14:paraId="4164BCF8" w14:textId="77777777" w:rsidR="00611DF3" w:rsidRPr="00611DF3" w:rsidRDefault="00611DF3" w:rsidP="00611DF3">
      <w:pPr>
        <w:spacing w:line="360" w:lineRule="auto"/>
        <w:rPr>
          <w:rFonts w:ascii="Calibri" w:hAnsi="Calibri" w:cs="Calibri"/>
          <w:b/>
          <w:bCs/>
          <w:sz w:val="22"/>
          <w:szCs w:val="22"/>
        </w:rPr>
      </w:pPr>
      <w:r w:rsidRPr="00611DF3">
        <w:rPr>
          <w:rFonts w:ascii="Calibri" w:hAnsi="Calibri" w:cs="Calibri"/>
          <w:b/>
          <w:bCs/>
          <w:sz w:val="22"/>
          <w:szCs w:val="22"/>
        </w:rPr>
        <w:t xml:space="preserve">Trial Selection Bias and Heterogeneity </w:t>
      </w:r>
    </w:p>
    <w:p w14:paraId="50B24059" w14:textId="3F4FE60B"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The meta-analysis results were heavily influenced by the 2023 FIRE trial, which enrolled patients ≥75 years old with STEMI or NSTEMI. FIRE reported lower mortality with complete revasculari</w:t>
      </w:r>
      <w:r w:rsidR="00D125DF">
        <w:rPr>
          <w:rFonts w:ascii="Calibri" w:hAnsi="Calibri" w:cs="Calibri"/>
          <w:sz w:val="22"/>
          <w:szCs w:val="22"/>
        </w:rPr>
        <w:t>s</w:t>
      </w:r>
      <w:r w:rsidRPr="00611DF3">
        <w:rPr>
          <w:rFonts w:ascii="Calibri" w:hAnsi="Calibri" w:cs="Calibri"/>
          <w:sz w:val="22"/>
          <w:szCs w:val="22"/>
        </w:rPr>
        <w:t>ation in this cohort.  In NSTEMI, ‘complete revasculari</w:t>
      </w:r>
      <w:r w:rsidR="00D125DF">
        <w:rPr>
          <w:rFonts w:ascii="Calibri" w:hAnsi="Calibri" w:cs="Calibri"/>
          <w:sz w:val="22"/>
          <w:szCs w:val="22"/>
        </w:rPr>
        <w:t>s</w:t>
      </w:r>
      <w:r w:rsidRPr="00611DF3">
        <w:rPr>
          <w:rFonts w:ascii="Calibri" w:hAnsi="Calibri" w:cs="Calibri"/>
          <w:sz w:val="22"/>
          <w:szCs w:val="22"/>
        </w:rPr>
        <w:t xml:space="preserve">ation’ may  treat additional ischaemia-causing lesions. By contrast, STEMI is typically driven by a single culprit lesion and remaining lesions are stable. These differences mean NSTEMI benefits are not directly generalisable to STEMI. Conversely, CULPRIT-SHOCK (n = 706) showed that in STEMI with shock, complete </w:t>
      </w:r>
      <w:r w:rsidR="00D125DF">
        <w:rPr>
          <w:rFonts w:ascii="Calibri" w:hAnsi="Calibri" w:cs="Calibri"/>
          <w:sz w:val="22"/>
          <w:szCs w:val="22"/>
        </w:rPr>
        <w:t xml:space="preserve">revascularisation </w:t>
      </w:r>
      <w:r w:rsidRPr="00611DF3">
        <w:rPr>
          <w:rFonts w:ascii="Calibri" w:hAnsi="Calibri" w:cs="Calibri"/>
          <w:sz w:val="22"/>
          <w:szCs w:val="22"/>
        </w:rPr>
        <w:t xml:space="preserve"> increased the risk of death or severe renal failure compared to culprit lesion PCI (RR 0.83 for culprit-only), due to longer procedures and greater contrast exposure (2). The JACC analysis’s failure to account for the temporal structure of competing risks, whereby procedural deaths preclude the benefit of preventing future MI, inflates the apparent mortality benefit. </w:t>
      </w:r>
    </w:p>
    <w:p w14:paraId="615B7065" w14:textId="77777777" w:rsidR="00611DF3" w:rsidRPr="00611DF3" w:rsidRDefault="00611DF3" w:rsidP="00611DF3">
      <w:pPr>
        <w:spacing w:line="360" w:lineRule="auto"/>
        <w:rPr>
          <w:rFonts w:ascii="Calibri" w:hAnsi="Calibri" w:cs="Calibri"/>
          <w:b/>
          <w:bCs/>
          <w:sz w:val="22"/>
          <w:szCs w:val="22"/>
        </w:rPr>
      </w:pPr>
    </w:p>
    <w:p w14:paraId="0BF3B946" w14:textId="77777777" w:rsidR="00611DF3" w:rsidRPr="00611DF3" w:rsidRDefault="00611DF3" w:rsidP="00611DF3">
      <w:pPr>
        <w:spacing w:line="360" w:lineRule="auto"/>
        <w:rPr>
          <w:rFonts w:ascii="Calibri" w:hAnsi="Calibri" w:cs="Calibri"/>
          <w:b/>
          <w:bCs/>
          <w:sz w:val="22"/>
          <w:szCs w:val="22"/>
        </w:rPr>
      </w:pPr>
      <w:r w:rsidRPr="00611DF3">
        <w:rPr>
          <w:rFonts w:ascii="Calibri" w:hAnsi="Calibri" w:cs="Calibri"/>
          <w:b/>
          <w:bCs/>
          <w:sz w:val="22"/>
          <w:szCs w:val="22"/>
        </w:rPr>
        <w:t xml:space="preserve">Computational Validation: The </w:t>
      </w:r>
      <w:proofErr w:type="spellStart"/>
      <w:r w:rsidRPr="00611DF3">
        <w:rPr>
          <w:rFonts w:ascii="Calibri" w:hAnsi="Calibri" w:cs="Calibri"/>
          <w:b/>
          <w:bCs/>
          <w:sz w:val="22"/>
          <w:szCs w:val="22"/>
        </w:rPr>
        <w:t>RevascLogic</w:t>
      </w:r>
      <w:proofErr w:type="spellEnd"/>
      <w:r w:rsidRPr="00611DF3">
        <w:rPr>
          <w:rFonts w:ascii="Calibri" w:hAnsi="Calibri" w:cs="Calibri"/>
          <w:b/>
          <w:bCs/>
          <w:sz w:val="22"/>
          <w:szCs w:val="22"/>
        </w:rPr>
        <w:t xml:space="preserve"> Engine</w:t>
      </w:r>
    </w:p>
    <w:p w14:paraId="3AC1BD12" w14:textId="77777777"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 xml:space="preserve">To validate this, we developed </w:t>
      </w:r>
      <w:proofErr w:type="spellStart"/>
      <w:r w:rsidRPr="00611DF3">
        <w:rPr>
          <w:rFonts w:ascii="Calibri" w:hAnsi="Calibri" w:cs="Calibri"/>
          <w:i/>
          <w:iCs/>
          <w:sz w:val="22"/>
          <w:szCs w:val="22"/>
        </w:rPr>
        <w:t>RevascLogic</w:t>
      </w:r>
      <w:proofErr w:type="spellEnd"/>
      <w:r w:rsidRPr="00611DF3">
        <w:rPr>
          <w:rFonts w:ascii="Calibri" w:hAnsi="Calibri" w:cs="Calibri"/>
          <w:i/>
          <w:iCs/>
          <w:sz w:val="22"/>
          <w:szCs w:val="22"/>
        </w:rPr>
        <w:t xml:space="preserve"> v1.2 </w:t>
      </w:r>
      <w:r w:rsidRPr="00611DF3">
        <w:rPr>
          <w:rFonts w:ascii="Calibri" w:hAnsi="Calibri" w:cs="Calibri"/>
          <w:sz w:val="22"/>
          <w:szCs w:val="22"/>
        </w:rPr>
        <w:t>, a browser-based tool applying two statistical corrections to reconstruct the meta-analytic data:</w:t>
      </w:r>
    </w:p>
    <w:p w14:paraId="357F1CBA" w14:textId="77777777"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 xml:space="preserve"> </w:t>
      </w:r>
    </w:p>
    <w:p w14:paraId="687DE675" w14:textId="77777777" w:rsidR="00611DF3" w:rsidRPr="00611DF3" w:rsidRDefault="00611DF3" w:rsidP="00611DF3">
      <w:pPr>
        <w:pStyle w:val="ListParagraph"/>
        <w:numPr>
          <w:ilvl w:val="0"/>
          <w:numId w:val="1"/>
        </w:numPr>
        <w:spacing w:line="360" w:lineRule="auto"/>
        <w:rPr>
          <w:rFonts w:ascii="Calibri" w:hAnsi="Calibri" w:cs="Calibri"/>
          <w:sz w:val="22"/>
          <w:szCs w:val="22"/>
        </w:rPr>
      </w:pPr>
      <w:r w:rsidRPr="00611DF3">
        <w:rPr>
          <w:rFonts w:ascii="Calibri" w:hAnsi="Calibri" w:cs="Calibri"/>
          <w:sz w:val="22"/>
          <w:szCs w:val="22"/>
        </w:rPr>
        <w:t xml:space="preserve">HKSJ Adjustment: Standard </w:t>
      </w:r>
      <w:proofErr w:type="spellStart"/>
      <w:r w:rsidRPr="00611DF3">
        <w:rPr>
          <w:rFonts w:ascii="Calibri" w:hAnsi="Calibri" w:cs="Calibri"/>
          <w:sz w:val="22"/>
          <w:szCs w:val="22"/>
        </w:rPr>
        <w:t>DerSimonian</w:t>
      </w:r>
      <w:proofErr w:type="spellEnd"/>
      <w:r w:rsidRPr="00611DF3">
        <w:rPr>
          <w:rFonts w:ascii="Calibri" w:hAnsi="Calibri" w:cs="Calibri"/>
          <w:sz w:val="22"/>
          <w:szCs w:val="22"/>
        </w:rPr>
        <w:t xml:space="preserve">-Laird models underestimate variance when heterogeneity is driven by outliers like FIRE. Instead, the engine employs HKSJ estimation, providing wider confidence intervals, particularly when a few heterogenous trials are available. </w:t>
      </w:r>
    </w:p>
    <w:p w14:paraId="40FEFD02" w14:textId="77777777" w:rsidR="00611DF3" w:rsidRPr="00611DF3" w:rsidRDefault="00611DF3" w:rsidP="00611DF3">
      <w:pPr>
        <w:pStyle w:val="ListParagraph"/>
        <w:numPr>
          <w:ilvl w:val="0"/>
          <w:numId w:val="1"/>
        </w:numPr>
        <w:spacing w:line="360" w:lineRule="auto"/>
        <w:rPr>
          <w:rFonts w:ascii="Calibri" w:hAnsi="Calibri" w:cs="Calibri"/>
          <w:sz w:val="22"/>
          <w:szCs w:val="22"/>
        </w:rPr>
      </w:pPr>
      <w:r w:rsidRPr="00611DF3">
        <w:rPr>
          <w:rFonts w:ascii="Calibri" w:hAnsi="Calibri" w:cs="Calibri"/>
          <w:sz w:val="22"/>
          <w:szCs w:val="22"/>
        </w:rPr>
        <w:t>Correlated competing risks: We applied a Monte Carlo simulation (N = 20,000) in which efficacy (prevented MI) and safety (death) are modelled as correlated outcomes (</w:t>
      </w:r>
      <w:r w:rsidRPr="00611DF3">
        <w:rPr>
          <w:rFonts w:ascii="Calibri" w:hAnsi="Calibri" w:cs="Calibri"/>
          <w:color w:val="000000"/>
          <w:sz w:val="22"/>
          <w:szCs w:val="22"/>
        </w:rPr>
        <w:t>ρ</w:t>
      </w:r>
      <w:r w:rsidRPr="00611DF3">
        <w:rPr>
          <w:rFonts w:ascii="Calibri" w:hAnsi="Calibri" w:cs="Calibri"/>
          <w:sz w:val="22"/>
          <w:szCs w:val="22"/>
        </w:rPr>
        <w:t xml:space="preserve">=0.5). </w:t>
      </w:r>
      <w:r w:rsidRPr="00611DF3">
        <w:rPr>
          <w:rFonts w:ascii="Calibri" w:hAnsi="Calibri" w:cs="Calibri"/>
          <w:sz w:val="22"/>
          <w:szCs w:val="22"/>
        </w:rPr>
        <w:lastRenderedPageBreak/>
        <w:t xml:space="preserve">The simulation enforces a hierarchical logic such that a simulated ‘safety event’ precludes an ‘efficacy event’. </w:t>
      </w:r>
    </w:p>
    <w:p w14:paraId="113CFBCA" w14:textId="77777777" w:rsidR="00611DF3" w:rsidRPr="00611DF3" w:rsidRDefault="00611DF3" w:rsidP="00611DF3">
      <w:pPr>
        <w:spacing w:line="360" w:lineRule="auto"/>
        <w:rPr>
          <w:rFonts w:ascii="Calibri" w:hAnsi="Calibri" w:cs="Calibri"/>
          <w:sz w:val="22"/>
          <w:szCs w:val="22"/>
        </w:rPr>
      </w:pPr>
    </w:p>
    <w:p w14:paraId="6B94217D" w14:textId="77777777"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 xml:space="preserve">Sensitivity analyses showed that the mortality benefit reported in JACC is fragile, disappearing when the NSTEMI cohort is removed or inclusion of shock, leaving only the reduction non-fatal ischaemic events. </w:t>
      </w:r>
    </w:p>
    <w:p w14:paraId="2CD59F97" w14:textId="77777777" w:rsidR="00611DF3" w:rsidRPr="00611DF3" w:rsidRDefault="00611DF3" w:rsidP="00611DF3">
      <w:pPr>
        <w:spacing w:line="360" w:lineRule="auto"/>
        <w:rPr>
          <w:rFonts w:ascii="Calibri" w:hAnsi="Calibri" w:cs="Calibri"/>
          <w:sz w:val="22"/>
          <w:szCs w:val="22"/>
        </w:rPr>
      </w:pPr>
    </w:p>
    <w:p w14:paraId="1A581BFB" w14:textId="77777777" w:rsidR="00611DF3" w:rsidRPr="00611DF3" w:rsidRDefault="00611DF3" w:rsidP="00611DF3">
      <w:pPr>
        <w:spacing w:line="360" w:lineRule="auto"/>
        <w:rPr>
          <w:rFonts w:ascii="Calibri" w:hAnsi="Calibri" w:cs="Calibri"/>
          <w:b/>
          <w:bCs/>
          <w:sz w:val="22"/>
          <w:szCs w:val="22"/>
        </w:rPr>
      </w:pPr>
      <w:r w:rsidRPr="00611DF3">
        <w:rPr>
          <w:rFonts w:ascii="Calibri" w:hAnsi="Calibri" w:cs="Calibri"/>
          <w:b/>
          <w:bCs/>
          <w:sz w:val="22"/>
          <w:szCs w:val="22"/>
        </w:rPr>
        <w:t>Conclusion</w:t>
      </w:r>
    </w:p>
    <w:p w14:paraId="54B144D5" w14:textId="77777777" w:rsidR="00611DF3" w:rsidRPr="00611DF3" w:rsidRDefault="00611DF3" w:rsidP="00611DF3">
      <w:pPr>
        <w:spacing w:line="360" w:lineRule="auto"/>
        <w:rPr>
          <w:rFonts w:ascii="Calibri" w:hAnsi="Calibri" w:cs="Calibri"/>
          <w:sz w:val="22"/>
          <w:szCs w:val="22"/>
        </w:rPr>
      </w:pPr>
      <w:r w:rsidRPr="00611DF3">
        <w:rPr>
          <w:rFonts w:ascii="Calibri" w:hAnsi="Calibri" w:cs="Calibri"/>
          <w:sz w:val="22"/>
          <w:szCs w:val="22"/>
        </w:rPr>
        <w:t xml:space="preserve">Recommendations for complete revascularisation should remain limited to haemodynamically stable STEMI. The mortality reduction reported in the JACC meta-analysis appears to be driven by patient subgroups unrepresentative of the typical STEMI population.  </w:t>
      </w:r>
    </w:p>
    <w:p w14:paraId="504CF914" w14:textId="77777777" w:rsidR="0099025A" w:rsidRDefault="0099025A" w:rsidP="00611DF3">
      <w:pPr>
        <w:spacing w:line="360" w:lineRule="auto"/>
        <w:rPr>
          <w:rFonts w:ascii="Calibri" w:hAnsi="Calibri" w:cs="Calibri"/>
          <w:sz w:val="22"/>
          <w:szCs w:val="22"/>
        </w:rPr>
      </w:pPr>
    </w:p>
    <w:p w14:paraId="5CED7B8A" w14:textId="77777777" w:rsidR="00B9229E" w:rsidRPr="00B9229E" w:rsidRDefault="00B9229E" w:rsidP="00B9229E">
      <w:pPr>
        <w:spacing w:line="360" w:lineRule="auto"/>
        <w:rPr>
          <w:rFonts w:ascii="Calibri" w:hAnsi="Calibri" w:cs="Calibri"/>
          <w:sz w:val="22"/>
          <w:szCs w:val="22"/>
        </w:rPr>
      </w:pPr>
    </w:p>
    <w:p w14:paraId="5C2A6BE4" w14:textId="77777777" w:rsidR="003D64CC" w:rsidRPr="00611DF3" w:rsidRDefault="003D64CC" w:rsidP="00611DF3">
      <w:pPr>
        <w:spacing w:line="360" w:lineRule="auto"/>
        <w:rPr>
          <w:rFonts w:ascii="Calibri" w:hAnsi="Calibri" w:cs="Calibri"/>
          <w:sz w:val="22"/>
          <w:szCs w:val="22"/>
        </w:rPr>
      </w:pPr>
    </w:p>
    <w:sectPr w:rsidR="003D64CC" w:rsidRPr="00611DF3" w:rsidSect="00611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62339"/>
    <w:multiLevelType w:val="hybridMultilevel"/>
    <w:tmpl w:val="9D38197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9C55E50"/>
    <w:multiLevelType w:val="multilevel"/>
    <w:tmpl w:val="FA22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6898328">
    <w:abstractNumId w:val="0"/>
  </w:num>
  <w:num w:numId="2" w16cid:durableId="179006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F3"/>
    <w:rsid w:val="003D64CC"/>
    <w:rsid w:val="005E1977"/>
    <w:rsid w:val="00611DF3"/>
    <w:rsid w:val="006345E1"/>
    <w:rsid w:val="006667B9"/>
    <w:rsid w:val="006F5716"/>
    <w:rsid w:val="00735F74"/>
    <w:rsid w:val="007C4E90"/>
    <w:rsid w:val="00816062"/>
    <w:rsid w:val="0099025A"/>
    <w:rsid w:val="00B228C2"/>
    <w:rsid w:val="00B9229E"/>
    <w:rsid w:val="00BF1863"/>
    <w:rsid w:val="00C476E7"/>
    <w:rsid w:val="00D125DF"/>
    <w:rsid w:val="00E11F75"/>
    <w:rsid w:val="00EE5034"/>
    <w:rsid w:val="00F23493"/>
    <w:rsid w:val="00F8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66902D"/>
  <w15:chartTrackingRefBased/>
  <w15:docId w15:val="{CC3F185E-448F-CD48-A1E5-7A0C13DC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F3"/>
  </w:style>
  <w:style w:type="paragraph" w:styleId="Heading1">
    <w:name w:val="heading 1"/>
    <w:basedOn w:val="Normal"/>
    <w:next w:val="Normal"/>
    <w:link w:val="Heading1Char"/>
    <w:uiPriority w:val="9"/>
    <w:qFormat/>
    <w:rsid w:val="00E11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F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F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F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F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F75"/>
    <w:rPr>
      <w:rFonts w:eastAsiaTheme="majorEastAsia" w:cstheme="majorBidi"/>
      <w:color w:val="272727" w:themeColor="text1" w:themeTint="D8"/>
    </w:rPr>
  </w:style>
  <w:style w:type="paragraph" w:styleId="Title">
    <w:name w:val="Title"/>
    <w:basedOn w:val="Normal"/>
    <w:next w:val="Normal"/>
    <w:link w:val="TitleChar"/>
    <w:uiPriority w:val="10"/>
    <w:qFormat/>
    <w:rsid w:val="00E11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F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F75"/>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11F75"/>
    <w:pPr>
      <w:ind w:left="720"/>
      <w:contextualSpacing/>
    </w:pPr>
  </w:style>
  <w:style w:type="paragraph" w:styleId="Quote">
    <w:name w:val="Quote"/>
    <w:basedOn w:val="Normal"/>
    <w:next w:val="Normal"/>
    <w:link w:val="QuoteChar"/>
    <w:uiPriority w:val="29"/>
    <w:qFormat/>
    <w:rsid w:val="00E11F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F75"/>
    <w:rPr>
      <w:i/>
      <w:iCs/>
      <w:color w:val="404040" w:themeColor="text1" w:themeTint="BF"/>
    </w:rPr>
  </w:style>
  <w:style w:type="paragraph" w:styleId="IntenseQuote">
    <w:name w:val="Intense Quote"/>
    <w:basedOn w:val="Normal"/>
    <w:next w:val="Normal"/>
    <w:link w:val="IntenseQuoteChar"/>
    <w:uiPriority w:val="30"/>
    <w:qFormat/>
    <w:rsid w:val="00E11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F75"/>
    <w:rPr>
      <w:i/>
      <w:iCs/>
      <w:color w:val="0F4761" w:themeColor="accent1" w:themeShade="BF"/>
    </w:rPr>
  </w:style>
  <w:style w:type="character" w:styleId="IntenseEmphasis">
    <w:name w:val="Intense Emphasis"/>
    <w:basedOn w:val="DefaultParagraphFont"/>
    <w:uiPriority w:val="21"/>
    <w:qFormat/>
    <w:rsid w:val="00E11F75"/>
    <w:rPr>
      <w:i/>
      <w:iCs/>
      <w:color w:val="0F4761" w:themeColor="accent1" w:themeShade="BF"/>
    </w:rPr>
  </w:style>
  <w:style w:type="character" w:styleId="IntenseReference">
    <w:name w:val="Intense Reference"/>
    <w:basedOn w:val="DefaultParagraphFont"/>
    <w:uiPriority w:val="32"/>
    <w:qFormat/>
    <w:rsid w:val="00E11F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3012">
      <w:bodyDiv w:val="1"/>
      <w:marLeft w:val="0"/>
      <w:marRight w:val="0"/>
      <w:marTop w:val="0"/>
      <w:marBottom w:val="0"/>
      <w:divBdr>
        <w:top w:val="none" w:sz="0" w:space="0" w:color="auto"/>
        <w:left w:val="none" w:sz="0" w:space="0" w:color="auto"/>
        <w:bottom w:val="none" w:sz="0" w:space="0" w:color="auto"/>
        <w:right w:val="none" w:sz="0" w:space="0" w:color="auto"/>
      </w:divBdr>
      <w:divsChild>
        <w:div w:id="1448692736">
          <w:marLeft w:val="0"/>
          <w:marRight w:val="0"/>
          <w:marTop w:val="0"/>
          <w:marBottom w:val="0"/>
          <w:divBdr>
            <w:top w:val="none" w:sz="0" w:space="0" w:color="auto"/>
            <w:left w:val="none" w:sz="0" w:space="0" w:color="auto"/>
            <w:bottom w:val="none" w:sz="0" w:space="0" w:color="auto"/>
            <w:right w:val="none" w:sz="0" w:space="0" w:color="auto"/>
          </w:divBdr>
        </w:div>
        <w:div w:id="368532349">
          <w:marLeft w:val="0"/>
          <w:marRight w:val="0"/>
          <w:marTop w:val="240"/>
          <w:marBottom w:val="240"/>
          <w:divBdr>
            <w:top w:val="none" w:sz="0" w:space="0" w:color="auto"/>
            <w:left w:val="none" w:sz="0" w:space="0" w:color="auto"/>
            <w:bottom w:val="none" w:sz="0" w:space="0" w:color="auto"/>
            <w:right w:val="none" w:sz="0" w:space="0" w:color="auto"/>
          </w:divBdr>
        </w:div>
        <w:div w:id="1778715101">
          <w:marLeft w:val="0"/>
          <w:marRight w:val="0"/>
          <w:marTop w:val="240"/>
          <w:marBottom w:val="240"/>
          <w:divBdr>
            <w:top w:val="none" w:sz="0" w:space="0" w:color="auto"/>
            <w:left w:val="none" w:sz="0" w:space="0" w:color="auto"/>
            <w:bottom w:val="none" w:sz="0" w:space="0" w:color="auto"/>
            <w:right w:val="none" w:sz="0" w:space="0" w:color="auto"/>
          </w:divBdr>
        </w:div>
        <w:div w:id="1622031504">
          <w:marLeft w:val="0"/>
          <w:marRight w:val="0"/>
          <w:marTop w:val="240"/>
          <w:marBottom w:val="240"/>
          <w:divBdr>
            <w:top w:val="none" w:sz="0" w:space="0" w:color="auto"/>
            <w:left w:val="none" w:sz="0" w:space="0" w:color="auto"/>
            <w:bottom w:val="none" w:sz="0" w:space="0" w:color="auto"/>
            <w:right w:val="none" w:sz="0" w:space="0" w:color="auto"/>
          </w:divBdr>
        </w:div>
        <w:div w:id="2012485714">
          <w:marLeft w:val="0"/>
          <w:marRight w:val="0"/>
          <w:marTop w:val="240"/>
          <w:marBottom w:val="240"/>
          <w:divBdr>
            <w:top w:val="none" w:sz="0" w:space="0" w:color="auto"/>
            <w:left w:val="none" w:sz="0" w:space="0" w:color="auto"/>
            <w:bottom w:val="none" w:sz="0" w:space="0" w:color="auto"/>
            <w:right w:val="none" w:sz="0" w:space="0" w:color="auto"/>
          </w:divBdr>
        </w:div>
      </w:divsChild>
    </w:div>
    <w:div w:id="781606188">
      <w:bodyDiv w:val="1"/>
      <w:marLeft w:val="0"/>
      <w:marRight w:val="0"/>
      <w:marTop w:val="0"/>
      <w:marBottom w:val="0"/>
      <w:divBdr>
        <w:top w:val="none" w:sz="0" w:space="0" w:color="auto"/>
        <w:left w:val="none" w:sz="0" w:space="0" w:color="auto"/>
        <w:bottom w:val="none" w:sz="0" w:space="0" w:color="auto"/>
        <w:right w:val="none" w:sz="0" w:space="0" w:color="auto"/>
      </w:divBdr>
      <w:divsChild>
        <w:div w:id="188371582">
          <w:marLeft w:val="0"/>
          <w:marRight w:val="0"/>
          <w:marTop w:val="0"/>
          <w:marBottom w:val="0"/>
          <w:divBdr>
            <w:top w:val="none" w:sz="0" w:space="0" w:color="auto"/>
            <w:left w:val="none" w:sz="0" w:space="0" w:color="auto"/>
            <w:bottom w:val="none" w:sz="0" w:space="0" w:color="auto"/>
            <w:right w:val="none" w:sz="0" w:space="0" w:color="auto"/>
          </w:divBdr>
        </w:div>
        <w:div w:id="1300568685">
          <w:marLeft w:val="0"/>
          <w:marRight w:val="0"/>
          <w:marTop w:val="240"/>
          <w:marBottom w:val="240"/>
          <w:divBdr>
            <w:top w:val="none" w:sz="0" w:space="0" w:color="auto"/>
            <w:left w:val="none" w:sz="0" w:space="0" w:color="auto"/>
            <w:bottom w:val="none" w:sz="0" w:space="0" w:color="auto"/>
            <w:right w:val="none" w:sz="0" w:space="0" w:color="auto"/>
          </w:divBdr>
        </w:div>
        <w:div w:id="1262639918">
          <w:marLeft w:val="0"/>
          <w:marRight w:val="0"/>
          <w:marTop w:val="240"/>
          <w:marBottom w:val="240"/>
          <w:divBdr>
            <w:top w:val="none" w:sz="0" w:space="0" w:color="auto"/>
            <w:left w:val="none" w:sz="0" w:space="0" w:color="auto"/>
            <w:bottom w:val="none" w:sz="0" w:space="0" w:color="auto"/>
            <w:right w:val="none" w:sz="0" w:space="0" w:color="auto"/>
          </w:divBdr>
        </w:div>
        <w:div w:id="689257411">
          <w:marLeft w:val="0"/>
          <w:marRight w:val="0"/>
          <w:marTop w:val="240"/>
          <w:marBottom w:val="240"/>
          <w:divBdr>
            <w:top w:val="none" w:sz="0" w:space="0" w:color="auto"/>
            <w:left w:val="none" w:sz="0" w:space="0" w:color="auto"/>
            <w:bottom w:val="none" w:sz="0" w:space="0" w:color="auto"/>
            <w:right w:val="none" w:sz="0" w:space="0" w:color="auto"/>
          </w:divBdr>
        </w:div>
        <w:div w:id="953559981">
          <w:marLeft w:val="0"/>
          <w:marRight w:val="0"/>
          <w:marTop w:val="240"/>
          <w:marBottom w:val="240"/>
          <w:divBdr>
            <w:top w:val="none" w:sz="0" w:space="0" w:color="auto"/>
            <w:left w:val="none" w:sz="0" w:space="0" w:color="auto"/>
            <w:bottom w:val="none" w:sz="0" w:space="0" w:color="auto"/>
            <w:right w:val="none" w:sz="0" w:space="0" w:color="auto"/>
          </w:divBdr>
        </w:div>
      </w:divsChild>
    </w:div>
    <w:div w:id="1215891246">
      <w:bodyDiv w:val="1"/>
      <w:marLeft w:val="0"/>
      <w:marRight w:val="0"/>
      <w:marTop w:val="0"/>
      <w:marBottom w:val="0"/>
      <w:divBdr>
        <w:top w:val="none" w:sz="0" w:space="0" w:color="auto"/>
        <w:left w:val="none" w:sz="0" w:space="0" w:color="auto"/>
        <w:bottom w:val="none" w:sz="0" w:space="0" w:color="auto"/>
        <w:right w:val="none" w:sz="0" w:space="0" w:color="auto"/>
      </w:divBdr>
      <w:divsChild>
        <w:div w:id="1696882568">
          <w:marLeft w:val="0"/>
          <w:marRight w:val="0"/>
          <w:marTop w:val="0"/>
          <w:marBottom w:val="0"/>
          <w:divBdr>
            <w:top w:val="none" w:sz="0" w:space="0" w:color="auto"/>
            <w:left w:val="none" w:sz="0" w:space="0" w:color="auto"/>
            <w:bottom w:val="none" w:sz="0" w:space="0" w:color="auto"/>
            <w:right w:val="none" w:sz="0" w:space="0" w:color="auto"/>
          </w:divBdr>
        </w:div>
        <w:div w:id="1477841228">
          <w:marLeft w:val="0"/>
          <w:marRight w:val="0"/>
          <w:marTop w:val="240"/>
          <w:marBottom w:val="240"/>
          <w:divBdr>
            <w:top w:val="none" w:sz="0" w:space="0" w:color="auto"/>
            <w:left w:val="none" w:sz="0" w:space="0" w:color="auto"/>
            <w:bottom w:val="none" w:sz="0" w:space="0" w:color="auto"/>
            <w:right w:val="none" w:sz="0" w:space="0" w:color="auto"/>
          </w:divBdr>
        </w:div>
        <w:div w:id="777524888">
          <w:marLeft w:val="0"/>
          <w:marRight w:val="0"/>
          <w:marTop w:val="240"/>
          <w:marBottom w:val="240"/>
          <w:divBdr>
            <w:top w:val="none" w:sz="0" w:space="0" w:color="auto"/>
            <w:left w:val="none" w:sz="0" w:space="0" w:color="auto"/>
            <w:bottom w:val="none" w:sz="0" w:space="0" w:color="auto"/>
            <w:right w:val="none" w:sz="0" w:space="0" w:color="auto"/>
          </w:divBdr>
        </w:div>
        <w:div w:id="1298729789">
          <w:marLeft w:val="0"/>
          <w:marRight w:val="0"/>
          <w:marTop w:val="240"/>
          <w:marBottom w:val="240"/>
          <w:divBdr>
            <w:top w:val="none" w:sz="0" w:space="0" w:color="auto"/>
            <w:left w:val="none" w:sz="0" w:space="0" w:color="auto"/>
            <w:bottom w:val="none" w:sz="0" w:space="0" w:color="auto"/>
            <w:right w:val="none" w:sz="0" w:space="0" w:color="auto"/>
          </w:divBdr>
        </w:div>
        <w:div w:id="6813197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2504</Characters>
  <Application>Microsoft Office Word</Application>
  <DocSecurity>0</DocSecurity>
  <Lines>61</Lines>
  <Paragraphs>33</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Mistry, Tia</dc:creator>
  <cp:keywords/>
  <dc:description/>
  <cp:lastModifiedBy>Mistry, Tia</cp:lastModifiedBy>
  <cp:revision>8</cp:revision>
  <dcterms:created xsi:type="dcterms:W3CDTF">2025-11-28T16:08:00Z</dcterms:created>
  <dcterms:modified xsi:type="dcterms:W3CDTF">2025-11-29T12:52:00Z</dcterms:modified>
</cp:coreProperties>
</file>